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73994">
      <w:pPr>
        <w:adjustRightInd w:val="0"/>
        <w:snapToGrid w:val="0"/>
        <w:jc w:val="center"/>
        <w:rPr>
          <w:rFonts w:hint="eastAsia" w:ascii="方正小标宋简体" w:hAnsi="方正小标宋简体" w:eastAsia="方正小标宋简体" w:cs="方正小标宋简体"/>
          <w:sz w:val="28"/>
          <w:szCs w:val="44"/>
          <w:lang w:val="en-US" w:eastAsia="zh-CN"/>
        </w:rPr>
      </w:pPr>
      <w:r>
        <w:rPr>
          <w:rFonts w:hint="eastAsia" w:ascii="方正小标宋简体" w:hAnsi="方正小标宋简体" w:eastAsia="方正小标宋简体" w:cs="方正小标宋简体"/>
          <w:sz w:val="28"/>
          <w:szCs w:val="44"/>
          <w:lang w:val="en-US" w:eastAsia="zh-CN"/>
        </w:rPr>
        <w:t>河北田原化工集团有限公司年产10万吨过氧化氢全酸性改造项目</w:t>
      </w:r>
    </w:p>
    <w:p w14:paraId="10F47797">
      <w:pPr>
        <w:adjustRightInd w:val="0"/>
        <w:snapToGrid w:val="0"/>
        <w:jc w:val="center"/>
        <w:rPr>
          <w:rFonts w:hint="default" w:ascii="方正小标宋简体" w:hAnsi="方正小标宋简体" w:eastAsia="方正小标宋简体" w:cs="方正小标宋简体"/>
          <w:sz w:val="28"/>
          <w:szCs w:val="44"/>
        </w:rPr>
      </w:pPr>
      <w:r>
        <w:rPr>
          <w:rFonts w:ascii="方正小标宋简体" w:hAnsi="方正小标宋简体" w:eastAsia="方正小标宋简体" w:cs="方正小标宋简体"/>
          <w:sz w:val="28"/>
          <w:szCs w:val="44"/>
        </w:rPr>
        <w:t>第二次信息公示</w:t>
      </w:r>
    </w:p>
    <w:p w14:paraId="067E9BCE">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sz w:val="24"/>
        </w:rPr>
      </w:pPr>
    </w:p>
    <w:p w14:paraId="4D7A074D">
      <w:pPr>
        <w:adjustRightInd w:val="0"/>
        <w:snapToGrid w:val="0"/>
        <w:ind w:firstLine="480" w:firstLineChars="200"/>
        <w:jc w:val="left"/>
        <w:rPr>
          <w:rFonts w:hint="default"/>
          <w:sz w:val="24"/>
        </w:rPr>
      </w:pPr>
      <w:r>
        <w:rPr>
          <w:sz w:val="24"/>
        </w:rPr>
        <w:t>根据《中华人民共和国</w:t>
      </w:r>
      <w:r>
        <w:rPr>
          <w:rFonts w:hint="eastAsia"/>
          <w:sz w:val="24"/>
          <w:lang w:eastAsia="zh-CN"/>
        </w:rPr>
        <w:t>生态环境法典</w:t>
      </w:r>
      <w:r>
        <w:rPr>
          <w:sz w:val="24"/>
        </w:rPr>
        <w:t>》、《环境影响评价公众参与办法》（部令第4号）、《河北省环境保护公众参与条例》等有关规定，现</w:t>
      </w:r>
      <w:r>
        <w:rPr>
          <w:rFonts w:ascii="Times New Roman" w:hAnsi="Times New Roman"/>
          <w:sz w:val="24"/>
        </w:rPr>
        <w:t>将“</w:t>
      </w:r>
      <w:r>
        <w:rPr>
          <w:rFonts w:hint="eastAsia" w:ascii="Times New Roman" w:hAnsi="Times New Roman"/>
          <w:sz w:val="24"/>
          <w:lang w:val="en-US" w:eastAsia="zh-CN"/>
        </w:rPr>
        <w:t>河北田原化工集团有限公司年产10万吨过氧化氢全酸性改造项目</w:t>
      </w:r>
      <w:r>
        <w:rPr>
          <w:rFonts w:ascii="Times New Roman" w:hAnsi="Times New Roman"/>
          <w:sz w:val="24"/>
        </w:rPr>
        <w:t>环</w:t>
      </w:r>
      <w:r>
        <w:rPr>
          <w:sz w:val="24"/>
        </w:rPr>
        <w:t>境影响评价第二次公示内容”的有关事项向公众公告如下：</w:t>
      </w:r>
    </w:p>
    <w:p w14:paraId="051EDDAF">
      <w:pPr>
        <w:keepNext w:val="0"/>
        <w:keepLines w:val="0"/>
        <w:pageBreakBefore w:val="0"/>
        <w:widowControl w:val="0"/>
        <w:numPr>
          <w:ilvl w:val="0"/>
          <w:numId w:val="1"/>
        </w:numPr>
        <w:kinsoku/>
        <w:overflowPunct/>
        <w:topLinePunct w:val="0"/>
        <w:autoSpaceDE/>
        <w:autoSpaceDN/>
        <w:bidi w:val="0"/>
        <w:adjustRightInd w:val="0"/>
        <w:snapToGrid w:val="0"/>
        <w:spacing w:line="264" w:lineRule="auto"/>
        <w:ind w:firstLine="480" w:firstLineChars="200"/>
        <w:textAlignment w:val="auto"/>
        <w:rPr>
          <w:rFonts w:hint="default" w:ascii="黑体" w:hAnsi="黑体" w:eastAsia="黑体" w:cs="黑体"/>
          <w:sz w:val="24"/>
        </w:rPr>
      </w:pPr>
      <w:r>
        <w:rPr>
          <w:rFonts w:ascii="黑体" w:hAnsi="黑体" w:eastAsia="黑体" w:cs="黑体"/>
          <w:sz w:val="24"/>
        </w:rPr>
        <w:t>项目基本情况</w:t>
      </w:r>
    </w:p>
    <w:p w14:paraId="205015F3">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ascii="Times New Roman" w:hAnsi="Times New Roman"/>
          <w:kern w:val="0"/>
          <w:sz w:val="24"/>
          <w:szCs w:val="24"/>
          <w:lang w:eastAsia="zh-Hans"/>
        </w:rPr>
      </w:pPr>
      <w:r>
        <w:rPr>
          <w:sz w:val="24"/>
        </w:rPr>
        <w:t>项目名称</w:t>
      </w:r>
      <w:r>
        <w:rPr>
          <w:rFonts w:hint="eastAsia" w:ascii="Times New Roman" w:hAnsi="Times New Roman"/>
          <w:kern w:val="0"/>
          <w:sz w:val="24"/>
          <w:szCs w:val="24"/>
          <w:lang w:eastAsia="zh-Hans"/>
        </w:rPr>
        <w:t>：</w:t>
      </w:r>
      <w:r>
        <w:rPr>
          <w:rFonts w:hint="eastAsia" w:ascii="Times New Roman" w:hAnsi="Times New Roman"/>
          <w:sz w:val="24"/>
          <w:lang w:val="en-US" w:eastAsia="zh-CN"/>
        </w:rPr>
        <w:t>河北田原化工集团有限公司年产10万吨过氧化氢全酸性改造项目</w:t>
      </w:r>
    </w:p>
    <w:p w14:paraId="034E14FB">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sz w:val="24"/>
        </w:rPr>
      </w:pPr>
      <w:r>
        <w:rPr>
          <w:sz w:val="24"/>
        </w:rPr>
        <w:t>建设单位：</w:t>
      </w:r>
      <w:r>
        <w:rPr>
          <w:rFonts w:hint="eastAsia" w:ascii="Times New Roman" w:hAnsi="Times New Roman"/>
          <w:sz w:val="24"/>
          <w:lang w:val="en-US" w:eastAsia="zh-CN"/>
        </w:rPr>
        <w:t>河北田原化工集团有限公司</w:t>
      </w:r>
    </w:p>
    <w:p w14:paraId="1373D669">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sz w:val="24"/>
        </w:rPr>
      </w:pPr>
      <w:r>
        <w:rPr>
          <w:sz w:val="24"/>
        </w:rPr>
        <w:t>建设地点：</w:t>
      </w:r>
      <w:r>
        <w:rPr>
          <w:rFonts w:hint="eastAsia" w:ascii="Times New Roman" w:hAnsi="Times New Roman"/>
          <w:sz w:val="24"/>
          <w:lang w:val="en-US" w:eastAsia="zh-CN"/>
        </w:rPr>
        <w:t>河北田原化工集团有限公司</w:t>
      </w:r>
      <w:r>
        <w:rPr>
          <w:rFonts w:hint="eastAsia" w:ascii="仿宋" w:hAnsi="仿宋" w:eastAsia="仿宋" w:cs="Times New Roman"/>
          <w:bCs/>
          <w:kern w:val="0"/>
          <w:sz w:val="24"/>
          <w:szCs w:val="24"/>
          <w:lang w:eastAsia="zh-CN"/>
        </w:rPr>
        <w:t>现有厂区内</w:t>
      </w:r>
    </w:p>
    <w:p w14:paraId="66586A52">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ascii="Times New Roman" w:hAnsi="Times New Roman"/>
          <w:sz w:val="24"/>
          <w:lang w:val="en-US" w:eastAsia="zh-CN"/>
        </w:rPr>
      </w:pPr>
      <w:r>
        <w:rPr>
          <w:sz w:val="24"/>
        </w:rPr>
        <w:t>建设内容：</w:t>
      </w:r>
      <w:r>
        <w:rPr>
          <w:rFonts w:hint="eastAsia" w:ascii="Times New Roman" w:hAnsi="Times New Roman"/>
          <w:sz w:val="24"/>
          <w:lang w:val="en-US" w:eastAsia="zh-CN"/>
        </w:rPr>
        <w:t>主要改造内容包括:新建工作液罐区、工作液再生单元。原有双氧水生产装置、双氧水罐区、公用工程系统(循环水、蒸汽、压缩空气)、机柜间、配电室、中控室及配套辅助设施利旧。改造后，产能不变。</w:t>
      </w:r>
    </w:p>
    <w:p w14:paraId="482B5333">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eastAsia="仿宋_GB2312"/>
          <w:sz w:val="24"/>
          <w:lang w:val="en-US" w:eastAsia="zh-CN"/>
        </w:rPr>
      </w:pPr>
      <w:r>
        <w:rPr>
          <w:sz w:val="24"/>
        </w:rPr>
        <w:t>建设规模：</w:t>
      </w:r>
      <w:r>
        <w:rPr>
          <w:rFonts w:hint="eastAsia" w:ascii="Times New Roman" w:hAnsi="Times New Roman"/>
          <w:sz w:val="24"/>
          <w:lang w:val="en-US" w:eastAsia="zh-CN"/>
        </w:rPr>
        <w:t>年产10万吨过氧化氢（27.5%）</w:t>
      </w:r>
    </w:p>
    <w:p w14:paraId="0B69E6E8">
      <w:pPr>
        <w:keepNext w:val="0"/>
        <w:keepLines w:val="0"/>
        <w:pageBreakBefore w:val="0"/>
        <w:widowControl w:val="0"/>
        <w:numPr>
          <w:ilvl w:val="0"/>
          <w:numId w:val="1"/>
        </w:numPr>
        <w:kinsoku/>
        <w:overflowPunct/>
        <w:topLinePunct w:val="0"/>
        <w:autoSpaceDE/>
        <w:autoSpaceDN/>
        <w:bidi w:val="0"/>
        <w:adjustRightInd w:val="0"/>
        <w:snapToGrid w:val="0"/>
        <w:spacing w:line="264" w:lineRule="auto"/>
        <w:ind w:firstLine="480" w:firstLineChars="200"/>
        <w:textAlignment w:val="auto"/>
        <w:rPr>
          <w:rFonts w:hint="default" w:ascii="黑体" w:hAnsi="黑体" w:eastAsia="黑体" w:cs="黑体"/>
          <w:sz w:val="24"/>
        </w:rPr>
      </w:pPr>
      <w:r>
        <w:rPr>
          <w:rFonts w:ascii="黑体" w:hAnsi="黑体" w:eastAsia="黑体" w:cs="黑体"/>
          <w:sz w:val="24"/>
        </w:rPr>
        <w:t>建设单位名称与联系方式</w:t>
      </w:r>
    </w:p>
    <w:p w14:paraId="1428C282">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sz w:val="24"/>
        </w:rPr>
      </w:pPr>
      <w:r>
        <w:rPr>
          <w:rFonts w:ascii="Times New Roman" w:hAnsi="Times New Roman"/>
          <w:sz w:val="24"/>
        </w:rPr>
        <w:t>建设单位：</w:t>
      </w:r>
      <w:r>
        <w:rPr>
          <w:rFonts w:hint="eastAsia" w:ascii="Times New Roman" w:hAnsi="Times New Roman"/>
          <w:sz w:val="24"/>
          <w:lang w:val="en-US" w:eastAsia="zh-CN"/>
        </w:rPr>
        <w:t>河北田原化工集团有限公司</w:t>
      </w:r>
    </w:p>
    <w:p w14:paraId="3FADF53A">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ascii="Times New Roman" w:hAnsi="Times New Roman"/>
          <w:sz w:val="24"/>
          <w:lang w:val="en-US" w:eastAsia="zh-CN"/>
        </w:rPr>
      </w:pPr>
      <w:r>
        <w:rPr>
          <w:rFonts w:ascii="Times New Roman" w:hAnsi="Times New Roman"/>
          <w:sz w:val="24"/>
        </w:rPr>
        <w:t>联系地址：</w:t>
      </w:r>
      <w:r>
        <w:rPr>
          <w:rFonts w:hint="eastAsia" w:ascii="Times New Roman" w:hAnsi="Times New Roman"/>
          <w:sz w:val="24"/>
          <w:lang w:val="en-US" w:eastAsia="zh-CN"/>
        </w:rPr>
        <w:t>河北曲阳经济开发区循环经济园区</w:t>
      </w:r>
    </w:p>
    <w:p w14:paraId="36183DCE">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ascii="Times New Roman" w:hAnsi="Times New Roman" w:eastAsia="仿宋_GB2312"/>
          <w:sz w:val="24"/>
          <w:lang w:val="en-US" w:eastAsia="zh-CN"/>
        </w:rPr>
      </w:pPr>
      <w:r>
        <w:rPr>
          <w:rFonts w:ascii="Times New Roman" w:hAnsi="Times New Roman"/>
          <w:sz w:val="24"/>
        </w:rPr>
        <w:t>邮编：</w:t>
      </w:r>
      <w:r>
        <w:rPr>
          <w:rFonts w:hint="eastAsia" w:ascii="Times New Roman" w:hAnsi="Times New Roman"/>
          <w:sz w:val="24"/>
          <w:lang w:val="en-US" w:eastAsia="zh-CN"/>
        </w:rPr>
        <w:t>0</w:t>
      </w:r>
      <w:r>
        <w:rPr>
          <w:rFonts w:hint="eastAsia"/>
          <w:sz w:val="24"/>
          <w:lang w:val="en-US" w:eastAsia="zh-CN"/>
        </w:rPr>
        <w:t>73100</w:t>
      </w:r>
    </w:p>
    <w:p w14:paraId="118B2E3E">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eastAsia"/>
          <w:sz w:val="24"/>
          <w:lang w:val="en-US" w:eastAsia="zh-CN"/>
        </w:rPr>
      </w:pPr>
      <w:r>
        <w:rPr>
          <w:rFonts w:hint="eastAsia"/>
          <w:sz w:val="24"/>
          <w:lang w:val="en-US" w:eastAsia="zh-CN"/>
        </w:rPr>
        <w:t>联系人：安总     电话：13833176443</w:t>
      </w:r>
    </w:p>
    <w:p w14:paraId="457E3B1A">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ascii="Times New Roman" w:hAnsi="Times New Roman"/>
          <w:sz w:val="24"/>
        </w:rPr>
      </w:pPr>
      <w:r>
        <w:rPr>
          <w:rFonts w:ascii="Times New Roman" w:hAnsi="Times New Roman"/>
          <w:sz w:val="24"/>
        </w:rPr>
        <w:t>邮箱：</w:t>
      </w:r>
      <w:r>
        <w:rPr>
          <w:rFonts w:hint="eastAsia" w:ascii="Times New Roman" w:hAnsi="Times New Roman"/>
          <w:sz w:val="24"/>
          <w:lang w:val="en-US" w:eastAsia="zh-CN"/>
        </w:rPr>
        <w:t>653</w:t>
      </w:r>
      <w:r>
        <w:rPr>
          <w:rFonts w:hint="eastAsia"/>
          <w:sz w:val="24"/>
          <w:lang w:val="en-US" w:eastAsia="zh-CN"/>
        </w:rPr>
        <w:t>2</w:t>
      </w:r>
      <w:r>
        <w:rPr>
          <w:rFonts w:hint="eastAsia" w:ascii="Times New Roman" w:hAnsi="Times New Roman"/>
          <w:sz w:val="24"/>
          <w:lang w:val="en-US" w:eastAsia="zh-CN"/>
        </w:rPr>
        <w:t>18022</w:t>
      </w:r>
      <w:r>
        <w:rPr>
          <w:rFonts w:hint="default" w:ascii="Times New Roman" w:hAnsi="Times New Roman"/>
          <w:sz w:val="24"/>
        </w:rPr>
        <w:t>@qq.com</w:t>
      </w:r>
    </w:p>
    <w:p w14:paraId="6FB5CE16">
      <w:pPr>
        <w:keepNext w:val="0"/>
        <w:keepLines w:val="0"/>
        <w:pageBreakBefore w:val="0"/>
        <w:widowControl w:val="0"/>
        <w:numPr>
          <w:ilvl w:val="0"/>
          <w:numId w:val="1"/>
        </w:numPr>
        <w:kinsoku/>
        <w:overflowPunct/>
        <w:topLinePunct w:val="0"/>
        <w:autoSpaceDE/>
        <w:autoSpaceDN/>
        <w:bidi w:val="0"/>
        <w:adjustRightInd w:val="0"/>
        <w:snapToGrid w:val="0"/>
        <w:spacing w:line="264" w:lineRule="auto"/>
        <w:ind w:firstLine="480" w:firstLineChars="200"/>
        <w:textAlignment w:val="auto"/>
        <w:rPr>
          <w:rFonts w:hint="default" w:ascii="黑体" w:hAnsi="黑体" w:eastAsia="黑体" w:cs="黑体"/>
          <w:sz w:val="24"/>
        </w:rPr>
      </w:pPr>
      <w:r>
        <w:rPr>
          <w:rFonts w:ascii="黑体" w:hAnsi="黑体" w:eastAsia="黑体" w:cs="黑体"/>
          <w:sz w:val="24"/>
        </w:rPr>
        <w:t>查阅环境影响报告书征求意见稿的方式和途径</w:t>
      </w:r>
    </w:p>
    <w:p w14:paraId="27C2C5DB">
      <w:pPr>
        <w:keepNext w:val="0"/>
        <w:keepLines w:val="0"/>
        <w:pageBreakBefore w:val="0"/>
        <w:widowControl w:val="0"/>
        <w:kinsoku/>
        <w:wordWrap w:val="0"/>
        <w:overflowPunct/>
        <w:topLinePunct w:val="0"/>
        <w:autoSpaceDE/>
        <w:autoSpaceDN/>
        <w:bidi w:val="0"/>
        <w:adjustRightInd w:val="0"/>
        <w:snapToGrid w:val="0"/>
        <w:spacing w:line="264" w:lineRule="auto"/>
        <w:ind w:firstLine="480" w:firstLineChars="200"/>
        <w:textAlignment w:val="auto"/>
        <w:rPr>
          <w:sz w:val="24"/>
        </w:rPr>
      </w:pPr>
      <w:r>
        <w:rPr>
          <w:sz w:val="24"/>
        </w:rPr>
        <w:t>查阅方式和途</w:t>
      </w:r>
      <w:r>
        <w:rPr>
          <w:sz w:val="24"/>
          <w:highlight w:val="none"/>
        </w:rPr>
        <w:t>径：网络下载链接：</w:t>
      </w:r>
      <w:r>
        <w:rPr>
          <w:rFonts w:hint="eastAsia"/>
          <w:sz w:val="24"/>
          <w:highlight w:val="none"/>
        </w:rPr>
        <w:t>链接:</w:t>
      </w:r>
      <w:r>
        <w:rPr>
          <w:sz w:val="24"/>
        </w:rPr>
        <w:t xml:space="preserve"> https://pan.baidu.com/s/1EgaFB9NUdumc53ehbMkQIw 提取码: b7gd</w:t>
      </w:r>
    </w:p>
    <w:p w14:paraId="3C7A54F7">
      <w:pPr>
        <w:keepNext w:val="0"/>
        <w:keepLines w:val="0"/>
        <w:pageBreakBefore w:val="0"/>
        <w:widowControl w:val="0"/>
        <w:numPr>
          <w:ilvl w:val="0"/>
          <w:numId w:val="1"/>
        </w:numPr>
        <w:kinsoku/>
        <w:overflowPunct/>
        <w:topLinePunct w:val="0"/>
        <w:autoSpaceDE/>
        <w:autoSpaceDN/>
        <w:bidi w:val="0"/>
        <w:adjustRightInd w:val="0"/>
        <w:snapToGrid w:val="0"/>
        <w:spacing w:line="264" w:lineRule="auto"/>
        <w:ind w:firstLine="480" w:firstLineChars="200"/>
        <w:textAlignment w:val="auto"/>
        <w:rPr>
          <w:rFonts w:hint="default" w:ascii="黑体" w:hAnsi="黑体" w:eastAsia="黑体" w:cs="黑体"/>
          <w:sz w:val="24"/>
        </w:rPr>
      </w:pPr>
      <w:r>
        <w:rPr>
          <w:rFonts w:ascii="黑体" w:hAnsi="黑体" w:eastAsia="黑体" w:cs="黑体"/>
          <w:sz w:val="24"/>
        </w:rPr>
        <w:t>征求意见的公众范围及主要事项</w:t>
      </w:r>
    </w:p>
    <w:p w14:paraId="5D498ADF">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rFonts w:hint="default"/>
          <w:sz w:val="24"/>
        </w:rPr>
      </w:pPr>
      <w:r>
        <w:rPr>
          <w:sz w:val="24"/>
        </w:rPr>
        <w:t>征求评价范围内所有敏感点公众对本项目环境影响和环境保护措施有关的建议和意见，接受公众的监督，以便完善工程环保治理措施。</w:t>
      </w:r>
    </w:p>
    <w:p w14:paraId="4D568DAC">
      <w:pPr>
        <w:keepNext w:val="0"/>
        <w:keepLines w:val="0"/>
        <w:pageBreakBefore w:val="0"/>
        <w:widowControl w:val="0"/>
        <w:numPr>
          <w:ilvl w:val="0"/>
          <w:numId w:val="1"/>
        </w:numPr>
        <w:kinsoku/>
        <w:overflowPunct/>
        <w:topLinePunct w:val="0"/>
        <w:autoSpaceDE/>
        <w:autoSpaceDN/>
        <w:bidi w:val="0"/>
        <w:adjustRightInd w:val="0"/>
        <w:snapToGrid w:val="0"/>
        <w:spacing w:line="264" w:lineRule="auto"/>
        <w:ind w:firstLine="480" w:firstLineChars="200"/>
        <w:textAlignment w:val="auto"/>
        <w:rPr>
          <w:rFonts w:hint="default" w:ascii="黑体" w:hAnsi="黑体" w:eastAsia="黑体" w:cs="黑体"/>
          <w:sz w:val="24"/>
        </w:rPr>
      </w:pPr>
      <w:r>
        <w:rPr>
          <w:rFonts w:ascii="黑体" w:hAnsi="黑体" w:eastAsia="黑体" w:cs="黑体"/>
          <w:sz w:val="24"/>
        </w:rPr>
        <w:t>公众提出意见的主要方式和途径</w:t>
      </w:r>
    </w:p>
    <w:p w14:paraId="40DFBF37">
      <w:pPr>
        <w:keepNext w:val="0"/>
        <w:keepLines w:val="0"/>
        <w:pageBreakBefore w:val="0"/>
        <w:widowControl w:val="0"/>
        <w:kinsoku/>
        <w:wordWrap w:val="0"/>
        <w:overflowPunct/>
        <w:topLinePunct w:val="0"/>
        <w:autoSpaceDE/>
        <w:autoSpaceDN/>
        <w:bidi w:val="0"/>
        <w:adjustRightInd w:val="0"/>
        <w:snapToGrid w:val="0"/>
        <w:spacing w:line="264" w:lineRule="auto"/>
        <w:ind w:firstLine="480" w:firstLineChars="200"/>
        <w:textAlignment w:val="auto"/>
        <w:rPr>
          <w:rFonts w:hint="default"/>
          <w:sz w:val="24"/>
        </w:rPr>
      </w:pPr>
      <w:r>
        <w:rPr>
          <w:sz w:val="24"/>
        </w:rPr>
        <w:t>公众可通过打电话、写信填写公众意见表的方式向建设单位提出意见。公众意见表的网络链接：https://www.mee.gov.cn/xxgk2018/xxgk/xxgk01/201810/W020181024369122449069.docx</w:t>
      </w:r>
    </w:p>
    <w:p w14:paraId="1772AFD0">
      <w:pPr>
        <w:keepNext w:val="0"/>
        <w:keepLines w:val="0"/>
        <w:pageBreakBefore w:val="0"/>
        <w:widowControl w:val="0"/>
        <w:numPr>
          <w:ilvl w:val="0"/>
          <w:numId w:val="1"/>
        </w:numPr>
        <w:kinsoku/>
        <w:overflowPunct/>
        <w:topLinePunct w:val="0"/>
        <w:autoSpaceDE/>
        <w:autoSpaceDN/>
        <w:bidi w:val="0"/>
        <w:adjustRightInd w:val="0"/>
        <w:snapToGrid w:val="0"/>
        <w:spacing w:line="264" w:lineRule="auto"/>
        <w:ind w:firstLine="480" w:firstLineChars="200"/>
        <w:textAlignment w:val="auto"/>
        <w:rPr>
          <w:rFonts w:hint="default" w:ascii="黑体" w:hAnsi="黑体" w:eastAsia="黑体" w:cs="黑体"/>
          <w:sz w:val="24"/>
        </w:rPr>
      </w:pPr>
      <w:r>
        <w:rPr>
          <w:rFonts w:ascii="黑体" w:hAnsi="黑体" w:eastAsia="黑体" w:cs="黑体"/>
          <w:sz w:val="24"/>
        </w:rPr>
        <w:t>公示起止时间</w:t>
      </w:r>
    </w:p>
    <w:p w14:paraId="2F892068">
      <w:pPr>
        <w:keepNext w:val="0"/>
        <w:keepLines w:val="0"/>
        <w:pageBreakBefore w:val="0"/>
        <w:widowControl w:val="0"/>
        <w:kinsoku/>
        <w:overflowPunct/>
        <w:topLinePunct w:val="0"/>
        <w:autoSpaceDE/>
        <w:autoSpaceDN/>
        <w:bidi w:val="0"/>
        <w:adjustRightInd w:val="0"/>
        <w:snapToGrid w:val="0"/>
        <w:spacing w:line="264" w:lineRule="auto"/>
        <w:ind w:firstLine="480" w:firstLineChars="200"/>
        <w:textAlignment w:val="auto"/>
        <w:rPr>
          <w:sz w:val="24"/>
        </w:rPr>
      </w:pPr>
      <w:r>
        <w:rPr>
          <w:sz w:val="24"/>
        </w:rPr>
        <w:t>公示起止时间：期限为</w:t>
      </w:r>
      <w:r>
        <w:rPr>
          <w:sz w:val="24"/>
          <w:highlight w:val="none"/>
        </w:rPr>
        <w:t>20</w:t>
      </w:r>
      <w:r>
        <w:rPr>
          <w:rFonts w:hint="eastAsia"/>
          <w:sz w:val="24"/>
          <w:highlight w:val="none"/>
          <w:lang w:val="en-US" w:eastAsia="zh-CN"/>
        </w:rPr>
        <w:t>26</w:t>
      </w:r>
      <w:r>
        <w:rPr>
          <w:sz w:val="24"/>
          <w:highlight w:val="none"/>
        </w:rPr>
        <w:t>年</w:t>
      </w:r>
      <w:r>
        <w:rPr>
          <w:rFonts w:hint="eastAsia"/>
          <w:sz w:val="24"/>
          <w:highlight w:val="none"/>
          <w:lang w:val="en-US" w:eastAsia="zh-CN"/>
        </w:rPr>
        <w:t>8</w:t>
      </w:r>
      <w:r>
        <w:rPr>
          <w:sz w:val="24"/>
          <w:highlight w:val="none"/>
        </w:rPr>
        <w:t>月</w:t>
      </w:r>
      <w:r>
        <w:rPr>
          <w:rFonts w:hint="eastAsia"/>
          <w:sz w:val="24"/>
          <w:highlight w:val="none"/>
          <w:lang w:val="en-US" w:eastAsia="zh-CN"/>
        </w:rPr>
        <w:t>20</w:t>
      </w:r>
      <w:r>
        <w:rPr>
          <w:sz w:val="24"/>
          <w:highlight w:val="none"/>
        </w:rPr>
        <w:t>日至20</w:t>
      </w:r>
      <w:r>
        <w:rPr>
          <w:rFonts w:hint="eastAsia"/>
          <w:sz w:val="24"/>
          <w:highlight w:val="none"/>
          <w:lang w:val="en-US" w:eastAsia="zh-CN"/>
        </w:rPr>
        <w:t>26</w:t>
      </w:r>
      <w:r>
        <w:rPr>
          <w:sz w:val="24"/>
          <w:highlight w:val="none"/>
        </w:rPr>
        <w:t>年</w:t>
      </w:r>
      <w:r>
        <w:rPr>
          <w:rFonts w:hint="eastAsia"/>
          <w:sz w:val="24"/>
          <w:highlight w:val="none"/>
          <w:lang w:val="en-US" w:eastAsia="zh-CN"/>
        </w:rPr>
        <w:t>9</w:t>
      </w:r>
      <w:r>
        <w:rPr>
          <w:sz w:val="24"/>
          <w:highlight w:val="none"/>
        </w:rPr>
        <w:t>月</w:t>
      </w:r>
      <w:r>
        <w:rPr>
          <w:rFonts w:hint="eastAsia"/>
          <w:sz w:val="24"/>
          <w:highlight w:val="none"/>
          <w:lang w:val="en-US" w:eastAsia="zh-CN"/>
        </w:rPr>
        <w:t>2</w:t>
      </w:r>
      <w:r>
        <w:rPr>
          <w:sz w:val="24"/>
          <w:highlight w:val="none"/>
        </w:rPr>
        <w:t>日</w:t>
      </w:r>
      <w:r>
        <w:rPr>
          <w:sz w:val="24"/>
        </w:rPr>
        <w:t>，公示时间为10个工作日。</w:t>
      </w:r>
      <w:bookmarkStart w:id="0" w:name="_GoBack"/>
      <w:bookmarkEnd w:id="0"/>
    </w:p>
    <w:p w14:paraId="4016F1FF">
      <w:pPr>
        <w:pStyle w:val="2"/>
        <w:rPr>
          <w:rFonts w:hint="default" w:eastAsia="仿宋_GB2312"/>
          <w:sz w:val="24"/>
          <w:lang w:val="en-US" w:eastAsia="zh-CN"/>
        </w:rPr>
      </w:pPr>
      <w:r>
        <w:rPr>
          <w:rFonts w:hint="eastAsia"/>
          <w:sz w:val="24"/>
          <w:lang w:val="en-US" w:eastAsia="zh-CN"/>
        </w:rPr>
        <w:t xml:space="preserve">                                        </w:t>
      </w:r>
      <w:r>
        <w:rPr>
          <w:rFonts w:hint="eastAsia" w:ascii="Times New Roman" w:hAnsi="Times New Roman"/>
          <w:sz w:val="24"/>
          <w:lang w:val="en-US" w:eastAsia="zh-CN"/>
        </w:rPr>
        <w:t>河北田原化工集团有限公司</w:t>
      </w:r>
      <w:r>
        <w:rPr>
          <w:rFonts w:hint="eastAsia"/>
          <w:sz w:val="24"/>
          <w:lang w:val="en-US" w:eastAsia="zh-CN"/>
        </w:rPr>
        <w:t xml:space="preserve"> </w:t>
      </w:r>
    </w:p>
    <w:p w14:paraId="2999FC58">
      <w:pPr>
        <w:pStyle w:val="2"/>
        <w:rPr>
          <w:rFonts w:hint="default" w:eastAsia="仿宋_GB2312"/>
          <w:sz w:val="24"/>
          <w:lang w:val="en-US" w:eastAsia="zh-CN"/>
        </w:rPr>
      </w:pPr>
      <w:r>
        <w:rPr>
          <w:rFonts w:hint="eastAsia"/>
          <w:sz w:val="24"/>
          <w:lang w:val="en-US" w:eastAsia="zh-CN"/>
        </w:rPr>
        <w:t xml:space="preserve">                                               2026年8月20日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3182D0-089D-4761-9760-F4E927FFD0D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2" w:fontKey="{BC271D5A-4915-4FB3-A2B4-6417DEA55F24}"/>
  </w:font>
  <w:font w:name="仿宋">
    <w:panose1 w:val="02010609060101010101"/>
    <w:charset w:val="86"/>
    <w:family w:val="auto"/>
    <w:pitch w:val="default"/>
    <w:sig w:usb0="800002BF" w:usb1="38CF7CFA" w:usb2="00000016" w:usb3="00000000" w:csb0="00040001" w:csb1="00000000"/>
    <w:embedRegular r:id="rId3" w:fontKey="{8B934F08-2C56-475F-A416-BEBF877FBC2E}"/>
  </w:font>
  <w:font w:name="方正小标宋简体">
    <w:panose1 w:val="02000000000000000000"/>
    <w:charset w:val="86"/>
    <w:family w:val="auto"/>
    <w:pitch w:val="default"/>
    <w:sig w:usb0="00000001" w:usb1="08000000" w:usb2="00000000" w:usb3="00000000" w:csb0="00040000" w:csb1="00000000"/>
    <w:embedRegular r:id="rId4" w:fontKey="{14B3B19D-2847-4C78-A3B5-27BEF487F729}"/>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B0F4B"/>
    <w:multiLevelType w:val="singleLevel"/>
    <w:tmpl w:val="AA8B0F4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0MDAxZmY1YmQ2MDI3YzMyNjdmMzM1YWE1NGY2NjcifQ=="/>
  </w:docVars>
  <w:rsids>
    <w:rsidRoot w:val="64682C09"/>
    <w:rsid w:val="00302673"/>
    <w:rsid w:val="0032398E"/>
    <w:rsid w:val="00490869"/>
    <w:rsid w:val="004A15C1"/>
    <w:rsid w:val="004B2E87"/>
    <w:rsid w:val="004E7474"/>
    <w:rsid w:val="0051505C"/>
    <w:rsid w:val="00726FA1"/>
    <w:rsid w:val="00742832"/>
    <w:rsid w:val="007E5AB1"/>
    <w:rsid w:val="009A1276"/>
    <w:rsid w:val="00A16562"/>
    <w:rsid w:val="00CF6039"/>
    <w:rsid w:val="00D53AD3"/>
    <w:rsid w:val="00D85C66"/>
    <w:rsid w:val="00DD681D"/>
    <w:rsid w:val="00E56BE2"/>
    <w:rsid w:val="00E95CAD"/>
    <w:rsid w:val="00F04620"/>
    <w:rsid w:val="024E71D6"/>
    <w:rsid w:val="08882F8F"/>
    <w:rsid w:val="0C280B64"/>
    <w:rsid w:val="0FF84427"/>
    <w:rsid w:val="13740A5E"/>
    <w:rsid w:val="1B325526"/>
    <w:rsid w:val="22FB5E73"/>
    <w:rsid w:val="2C27476E"/>
    <w:rsid w:val="356F5230"/>
    <w:rsid w:val="3933643F"/>
    <w:rsid w:val="40696243"/>
    <w:rsid w:val="41964337"/>
    <w:rsid w:val="485B4F18"/>
    <w:rsid w:val="48677E2A"/>
    <w:rsid w:val="49715DD6"/>
    <w:rsid w:val="4E140C20"/>
    <w:rsid w:val="4F275EA2"/>
    <w:rsid w:val="5CAC3DFA"/>
    <w:rsid w:val="64682C09"/>
    <w:rsid w:val="65395046"/>
    <w:rsid w:val="6CCD54EA"/>
    <w:rsid w:val="768C792B"/>
    <w:rsid w:val="7E961773"/>
    <w:rsid w:val="7F190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hint="eastAsia" w:ascii="Times New Roman" w:hAnsi="Times New Roman" w:eastAsia="仿宋_GB2312" w:cs="仿宋_GB2312"/>
      <w:kern w:val="2"/>
      <w:sz w:val="32"/>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center" w:pos="6804"/>
        <w:tab w:val="right" w:pos="7371"/>
      </w:tabs>
      <w:snapToGrid w:val="0"/>
      <w:spacing w:line="360" w:lineRule="auto"/>
      <w:ind w:left="0" w:leftChars="0" w:firstLine="420"/>
    </w:pPr>
  </w:style>
  <w:style w:type="paragraph" w:styleId="3">
    <w:name w:val="Body Text Indent"/>
    <w:basedOn w:val="1"/>
    <w:next w:val="1"/>
    <w:qFormat/>
    <w:uiPriority w:val="0"/>
    <w:pPr>
      <w:spacing w:after="120"/>
      <w:ind w:left="420" w:leftChars="200"/>
    </w:pPr>
  </w:style>
  <w:style w:type="paragraph" w:styleId="4">
    <w:name w:val="Balloon Text"/>
    <w:basedOn w:val="1"/>
    <w:link w:val="11"/>
    <w:autoRedefine/>
    <w:qFormat/>
    <w:uiPriority w:val="0"/>
    <w:rPr>
      <w:sz w:val="18"/>
      <w:szCs w:val="18"/>
    </w:rPr>
  </w:style>
  <w:style w:type="paragraph" w:styleId="5">
    <w:name w:val="footer"/>
    <w:basedOn w:val="1"/>
    <w:link w:val="10"/>
    <w:autoRedefine/>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0"/>
    <w:rPr>
      <w:rFonts w:ascii="Times New Roman" w:hAnsi="Times New Roman" w:eastAsia="仿宋_GB2312" w:cs="仿宋_GB2312"/>
      <w:kern w:val="2"/>
      <w:sz w:val="18"/>
      <w:szCs w:val="18"/>
    </w:rPr>
  </w:style>
  <w:style w:type="character" w:customStyle="1" w:styleId="10">
    <w:name w:val="页脚 Char"/>
    <w:basedOn w:val="8"/>
    <w:link w:val="5"/>
    <w:autoRedefine/>
    <w:qFormat/>
    <w:uiPriority w:val="0"/>
    <w:rPr>
      <w:rFonts w:ascii="Times New Roman" w:hAnsi="Times New Roman" w:eastAsia="仿宋_GB2312" w:cs="仿宋_GB2312"/>
      <w:kern w:val="2"/>
      <w:sz w:val="18"/>
      <w:szCs w:val="18"/>
    </w:rPr>
  </w:style>
  <w:style w:type="character" w:customStyle="1" w:styleId="11">
    <w:name w:val="批注框文本 Char"/>
    <w:basedOn w:val="8"/>
    <w:link w:val="4"/>
    <w:autoRedefine/>
    <w:qFormat/>
    <w:uiPriority w:val="0"/>
    <w:rPr>
      <w:rFonts w:ascii="Times New Roman" w:hAnsi="Times New Roman" w:eastAsia="仿宋_GB2312" w:cs="仿宋_GB2312"/>
      <w:kern w:val="2"/>
      <w:sz w:val="18"/>
      <w:szCs w:val="18"/>
    </w:rPr>
  </w:style>
  <w:style w:type="paragraph" w:styleId="12">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644</Words>
  <Characters>820</Characters>
  <Lines>5</Lines>
  <Paragraphs>1</Paragraphs>
  <TotalTime>0</TotalTime>
  <ScaleCrop>false</ScaleCrop>
  <LinksUpToDate>false</LinksUpToDate>
  <CharactersWithSpaces>917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2021-03-05T00:49:00Z</dcterms:created>
  <dc:creator>Freesia°</dc:creator>
  <cp:lastModifiedBy>靳许甜</cp:lastModifiedBy>
  <cp:lastPrinted>2023-03-23T02:35:00Z</cp:lastPrinted>
  <dcterms:modified xsi:type="dcterms:W3CDTF">2026-08-19T08:35:20Z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768DC2736AD44515A124364C6FD430B3_12</vt:lpwstr>
  </property>
  <property fmtid="{D5CDD505-2E9C-101B-9397-08002B2CF9AE}" pid="4" name="KSOTemplateDocerSaveRecord">
    <vt:lpwstr>eyJoZGlkIjoiMWM2NDM0MDdhNmIzMTFhODk2MmY5OTdiY2UxMGU1YzkiLCJ1c2VySWQiOiIxNzIxMzMwODU1In0=</vt:lpwstr>
  </property>
</Properties>
</file>